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pPr>
      <w:r>
        <w:drawing>
          <wp:inline xmlns:a="http://schemas.openxmlformats.org/drawingml/2006/main" xmlns:pic="http://schemas.openxmlformats.org/drawingml/2006/picture">
            <wp:extent cx="2240280" cy="666361"/>
            <wp:docPr id="1" name="Picture 1"/>
            <wp:cNvGraphicFramePr>
              <a:graphicFrameLocks noChangeAspect="1"/>
            </wp:cNvGraphicFramePr>
            <a:graphic>
              <a:graphicData uri="http://schemas.openxmlformats.org/drawingml/2006/picture">
                <pic:pic>
                  <pic:nvPicPr>
                    <pic:cNvPr id="0" name="firm-logo.png"/>
                    <pic:cNvPicPr/>
                  </pic:nvPicPr>
                  <pic:blipFill>
                    <a:blip r:embed="rId11"/>
                    <a:stretch>
                      <a:fillRect/>
                    </a:stretch>
                  </pic:blipFill>
                  <pic:spPr>
                    <a:xfrm>
                      <a:off x="0" y="0"/>
                      <a:ext cx="2240280" cy="666361"/>
                    </a:xfrm>
                    <a:prstGeom prst="rect"/>
                  </pic:spPr>
                </pic:pic>
              </a:graphicData>
            </a:graphic>
          </wp:inline>
        </w:drawing>
      </w:r>
    </w:p>
    <w:p>
      <w:pPr>
        <w:spacing w:after="100"/>
      </w:pPr>
      <w:r>
        <w:rPr>
          <w:rFonts w:ascii="Calibri" w:hAnsi="Calibri"/>
          <w:b/>
          <w:color w:val="C58B34"/>
          <w:sz w:val="17"/>
        </w:rPr>
        <w:t>BUSINESS DOCUMENT STUDIO  ·  FREE WORKING RESOURCE</w:t>
      </w:r>
    </w:p>
    <w:p>
      <w:pPr>
        <w:pStyle w:val="Title"/>
      </w:pPr>
      <w:r>
        <w:t>PSP Licensing Readiness Document Index</w:t>
      </w:r>
    </w:p>
    <w:p>
      <w:pPr>
        <w:pStyle w:val="Subtitle"/>
      </w:pPr>
      <w:r>
        <w:t>A structured evidence register for Kenyan payment-service authorisation preparation.</w:t>
      </w:r>
    </w:p>
    <w:tbl>
      <w:tblPr>
        <w:tblW w:type="dxa" w:w="9360"/>
        <w:jc w:val="left"/>
        <w:tblLayout w:type="fixed"/>
        <w:tblLook w:firstColumn="1" w:firstRow="1" w:lastColumn="0" w:lastRow="0" w:noHBand="0" w:noVBand="1" w:val="04A0"/>
        <w:tblInd w:type="dxa" w:w="120"/>
      </w:tblPr>
      <w:tblGrid>
        <w:gridCol w:w="1550"/>
        <w:gridCol w:w="2450"/>
        <w:gridCol w:w="1550"/>
        <w:gridCol w:w="3810"/>
      </w:tblGrid>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JURISDICTION</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Kenya</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LAST REVIEWED</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31 July 2026</w:t>
            </w:r>
          </w:p>
        </w:tc>
      </w:tr>
      <w:tr>
        <w:trPr/>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FORMAT</w:t>
            </w:r>
          </w:p>
        </w:tc>
        <w:tc>
          <w:tcPr>
            <w:tcW w:type="dxa" w:w="245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Editable Word document</w:t>
            </w:r>
          </w:p>
        </w:tc>
        <w:tc>
          <w:tcPr>
            <w:tcW w:type="dxa" w:w="1550"/>
            <w:shd w:fill="F2EDF3"/>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2D073A"/>
                <w:sz w:val="17"/>
              </w:rPr>
              <w:t>RESOURCE</w:t>
            </w:r>
          </w:p>
        </w:tc>
        <w:tc>
          <w:tcPr>
            <w:tcW w:type="dxa" w:w="3810"/>
            <w:shd w:fill="FBFAF7"/>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DS–PSP–01</w:t>
            </w:r>
          </w:p>
        </w:tc>
      </w:tr>
    </w:tbl>
    <w:tbl>
      <w:tblPr>
        <w:tblW w:type="dxa" w:w="9360"/>
        <w:jc w:val="left"/>
        <w:tblLayout w:type="fixed"/>
        <w:tblLook w:firstColumn="1" w:firstRow="1" w:lastColumn="0" w:lastRow="0" w:noHBand="0" w:noVBand="1" w:val="04A0"/>
        <w:tblInd w:type="dxa" w:w="120"/>
      </w:tblPr>
      <w:tblGrid>
        <w:gridCol w:w="9360"/>
      </w:tblGrid>
      <w:tr>
        <w:trPr/>
        <w:tc>
          <w:tcPr>
            <w:tcW w:type="dxa" w:w="9360"/>
            <w:shd w:fill="F7F1E6"/>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40" w:after="40"/>
            </w:pPr>
            <w:r>
              <w:rPr>
                <w:rFonts w:ascii="Calibri" w:hAnsi="Calibri"/>
                <w:b/>
                <w:color w:val="2D073A"/>
                <w:sz w:val="19"/>
              </w:rPr>
              <w:t xml:space="preserve">Use offline; do not upload confidential information. </w:t>
            </w:r>
            <w:r>
              <w:rPr>
                <w:rFonts w:ascii="Calibri" w:hAnsi="Calibri"/>
                <w:color w:val="251F28"/>
                <w:sz w:val="19"/>
              </w:rPr>
              <w:t>This resource is designed to be downloaded and completed within your own controlled environment. The firm does not receive, store or review your entries unless you separately instruct it to do so after conflicts and engagement checks.</w:t>
            </w:r>
          </w:p>
        </w:tc>
      </w:tr>
    </w:tbl>
    <w:p>
      <w:pPr>
        <w:spacing w:after="40"/>
      </w:pPr>
    </w:p>
    <w:p>
      <w:pPr>
        <w:pStyle w:val="Heading1"/>
      </w:pPr>
      <w:r>
        <w:t>What this index is for</w:t>
      </w:r>
    </w:p>
    <w:p>
      <w:r>
        <w:t>Use this index to organise the documents and operating evidence that may be required to classify a payment model, prepare an authorisation workstream and test whether the materials tell one consistent story. It does not determine whether an activity is regulated or whether the Central Bank of Kenya will authorise an applicant.</w:t>
      </w:r>
    </w:p>
    <w:p>
      <w:pPr>
        <w:pStyle w:val="Heading2"/>
      </w:pPr>
      <w:r>
        <w:t>How to use it</w:t>
      </w:r>
    </w:p>
    <w:p>
      <w:pPr>
        <w:pStyle w:val="ListBullet"/>
      </w:pPr>
      <w:r>
        <w:t>Assign one accountable owner for each item and record the controlled document location—not an email attachment.</w:t>
      </w:r>
    </w:p>
    <w:p>
      <w:pPr>
        <w:pStyle w:val="ListBullet"/>
      </w:pPr>
      <w:r>
        <w:t>Mark an item 'Available' only if it reflects the current model and can be supported by evidence.</w:t>
      </w:r>
    </w:p>
    <w:p>
      <w:pPr>
        <w:pStyle w:val="ListBullet"/>
      </w:pPr>
      <w:r>
        <w:t>Use 'Update' where a document exists but the product, ownership, governance or control environment has changed.</w:t>
      </w:r>
    </w:p>
    <w:p>
      <w:pPr>
        <w:pStyle w:val="ListBullet"/>
      </w:pPr>
      <w:r>
        <w:t>Resolve inconsistencies across the application form, business plan, funds flow, policies, customer terms and technical evidence before submission.</w:t>
      </w:r>
    </w:p>
    <w:p>
      <w:pPr>
        <w:pStyle w:val="Heading1"/>
      </w:pPr>
      <w:r>
        <w:t>1. Regulatory perimeter and service model</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Product and regulatory-perimeter memorandum</w:t>
              <w:br/>
              <w:t>Identify the services, participants, regulated touchpoints, assumptions and open questions.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Detailed product and service description</w:t>
              <w:br/>
              <w:t>Describe customer propositions, channels, transaction types, limits and geographies.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End-to-end funds-flow diagram</w:t>
              <w:br/>
              <w:t>Show every debit, credit, settlement, safeguarding, fee and exception path.</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Operational process maps and customer journeys</w:t>
              <w:br/>
              <w:t>Include onboarding, payment, refund, complaint, failed transaction and account closure.</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Revenue model and pricing schedule</w:t>
              <w:br/>
              <w:t>Align fees and revenue lines with contracts, disclosures and the financial model.</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A06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Third-party and scheme dependency map</w:t>
              <w:br/>
              <w:t>Identify banks, payment rails, agents, processors, technology providers and critical subcontractors.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2. Corporate, ownership and fit-and-proper evidence</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Certificate of incorporation and constitutional documents</w:t>
              <w:br/>
              <w:t>Use current certified records where certification is required.</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Current company search, registers and beneficial-ownership information</w:t>
              <w:br/>
              <w:t>Reconcile legal and beneficial ownership across all records.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Group and ownership chart</w:t>
              <w:br/>
              <w:t>Show percentages, intermediate entities, jurisdiction and controlling persons.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Capitalisation table and source-of-funds evidence</w:t>
              <w:br/>
              <w:t>Explain current and proposed capital and any funding conditions.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Directors', senior officers' and significant shareholders' profiles</w:t>
              <w:br/>
              <w:t>Include identification, CVs, qualifications and declarations required for assessment.</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B06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Governance and reporting-line organisation chart</w:t>
              <w:br/>
              <w:t>Identify accountable operational, finance, risk, technology and compliance roles.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3. Application, programme of operations and financial case</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Applicable application form and submission checklist</w:t>
              <w:br/>
              <w:t>Confirm the correct category and current regulator requirements.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Board approval for the application and accountable signatories</w:t>
              <w:br/>
              <w:t>Record authority to submit, pay fees and make regulatory commitments.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Programme of operations</w:t>
              <w:br/>
              <w:t>Align scope, launch sequence, staffing, controls, systems and third-party dependencies.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Three-year business plan and implementation roadmap</w:t>
              <w:br/>
              <w:t>Use credible volumes, milestones, hiring, partner and regulatory assumptions.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Three-year financial model and indicative budget</w:t>
              <w:br/>
              <w:t>Reconcile revenue, customer-funds flows, capital, liquidity and operating costs.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Evidence of applicable initial/core capital</w:t>
              <w:br/>
              <w:t>Confirm category, form, timing and source of capital against current requirements.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C07</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Public-interest and market rationale</w:t>
              <w:br/>
              <w:t>Explain the need served, customer benefit, inclusion, competition and risk management.</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4. Governance, risk, accounting and internal controls</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Board and management governance framework</w:t>
              <w:br/>
              <w:t>Set oversight, reserved matters, escalation and reporting cadence.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Enterprise risk-management framework and risk register</w:t>
              <w:br/>
              <w:t>Cover financial, operational, fraud, technology, conduct, legal and regulatory risk.</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Compliance-management framework and obligations register</w:t>
              <w:br/>
              <w:t>Map laws, licences, reporting dates, owners and evidence.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Accounting, financial-control and reconciliation procedures</w:t>
              <w:br/>
              <w:t>Identify ledgers, daily controls, exceptions, approvals and record retention.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Internal audit or independent-assurance plan</w:t>
              <w:br/>
              <w:t>Prioritise regulated operations, financial controls, AML/CFT and technology.</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Outsourcing and third-party risk framework</w:t>
              <w:br/>
              <w:t>Classify critical providers and set diligence, monitoring, audit and exit controls.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D07</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Consumer protection, complaints and disclosure framework</w:t>
              <w:br/>
              <w:t>Align customer terms, charges, support, complaints, reversals and records.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5. AML/CFT, sanctions and fraud controls</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Enterprise and product AML/CFT/CPF risk assessments</w:t>
              <w:br/>
              <w:t>Address customers, products, channels, transactions and geographies.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Board-approved AML/CFT/CPF programme</w:t>
              <w:br/>
              <w:t>Reflect current law, sector obligations, governance and the actual product.</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Customer due-diligence and beneficial-ownership procedures</w:t>
              <w:br/>
              <w:t>Cover identification, verification, risk rating and enhanced measures.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PEP, sanctions and targeted-financial-sanctions controls</w:t>
              <w:br/>
              <w:t>Document screening logic, ownership analysis, escalation and evidence.</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Transaction-monitoring and suspicious-activity escalation</w:t>
              <w:br/>
              <w:t>Define scenarios, thresholds, alert handling, decisions and reporting.</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AML compliance officer / MLRO appointment and resources</w:t>
              <w:br/>
              <w:t>Record independence, access, authority, reporting and deputies.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E07</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AML/CFT training and independent-testing plan</w:t>
              <w:br/>
              <w:t>Use role-based training, completion evidence and tracked remediation.</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E08</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Fraud risk assessment and response procedures</w:t>
              <w:br/>
              <w:t>Link prevention, detection, customer communication and law-enforcement escalation.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6. Technology, security and operational resilience</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Current system and data architecture</w:t>
              <w:br/>
              <w:t>Identify environments, integrations, trust boundaries and critical dependencies.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Information-security governance and control framework</w:t>
              <w:br/>
              <w:t>Address access, encryption, logging, vulnerability and change controls.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Business continuity and disaster-recovery plans</w:t>
              <w:br/>
              <w:t>Set recovery objectives, responsibilities, communications and alternate arrangements.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Recent continuity, recovery and incident-response test evidence</w:t>
              <w:br/>
              <w:t>Record results, lessons, unresolved findings and owners.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Cybersecurity incident-response plan</w:t>
              <w:br/>
              <w:t>Coordinate technology, legal, regulator, customer and data-breach responses.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Critical-vendor diligence, contracts and service levels</w:t>
              <w:br/>
              <w:t>Confirm audit rights, security duties, incident notice and transition support.</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F07</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Technology change, release and configuration management</w:t>
              <w:br/>
              <w:t>Evidence approvals, testing, segregation, rollback and emergency changes.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7. Customer funds, settlement and service operations</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Safeguarding, trust or custodial arrangements</w:t>
              <w:br/>
              <w:t>Document legal structure, account controls, permitted movements and insolvency considerations.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Settlement and reconciliation operating model</w:t>
              <w:br/>
              <w:t>Show timing, source data, ownership, exceptions and escalation.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Liquidity, prefunding and settlement-risk controls</w:t>
              <w:br/>
              <w:t>Identify limits, triggers, buffers and contingency sources.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Failed, delayed, reversed and disputed-transaction procedures</w:t>
              <w:br/>
              <w:t>Align system handling, customer notices, refunds and accounting.</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Agent or cash-merchant due-diligence and oversight materials</w:t>
              <w:br/>
              <w:t>Where applicable, cover selection, training, monitoring and termination.</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G06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Customer-care and complaints operating procedures</w:t>
              <w:br/>
              <w:t>Track receipt, acknowledgement, investigation, decision, remedy and reporting.</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8. Data protection and records</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ODPC registration position and certificates</w:t>
              <w:br/>
              <w:t>Confirm applicable controller/processor categories and current details.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 inventory, processing records and data-flow map</w:t>
              <w:br/>
              <w:t>Include sources, purposes, recipients, locations, retention and transfers.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Privacy notices and customer consent/choice mechanisms</w:t>
              <w:br/>
              <w:t>Use clear notices and do not rely on consent where another basis applies.</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Data-protection impact assessments</w:t>
              <w:br/>
              <w:t>Complete before high-risk processing begins and record approval and residual risk.</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Controller-processor and data-sharing agreements</w:t>
              <w:br/>
              <w:t>Align roles, instructions, security, rights, transfers and deletion.</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H06</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Retention, deletion, data-rights and breach-response procedures</w:t>
              <w:br/>
              <w:t>Assign owners, timeframes, evidence and escalation.</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9. Submission quality and governance</w:t>
      </w:r>
    </w:p>
    <w:tbl>
      <w:tblPr>
        <w:tblW w:type="dxa" w:w="9360"/>
        <w:jc w:val="left"/>
        <w:tblLayout w:type="fixed"/>
        <w:tblLook w:firstColumn="1" w:firstRow="1" w:lastColumn="0" w:lastRow="0" w:noHBand="0" w:noVBand="1" w:val="04A0"/>
        <w:tblInd w:type="dxa" w:w="120"/>
      </w:tblPr>
      <w:tblGrid>
        <w:gridCol w:w="650"/>
        <w:gridCol w:w="5020"/>
        <w:gridCol w:w="1700"/>
        <w:gridCol w:w="1990"/>
      </w:tblGrid>
      <w:tr>
        <w:trPr>
          <w:tblHeader w:val="true"/>
        </w:trPr>
        <w:tc>
          <w:tcPr>
            <w:tcW w:type="dxa" w:w="65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Ref</w:t>
            </w:r>
          </w:p>
        </w:tc>
        <w:tc>
          <w:tcPr>
            <w:tcW w:type="dxa" w:w="502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Document, control or evidence</w:t>
            </w:r>
          </w:p>
        </w:tc>
        <w:tc>
          <w:tcPr>
            <w:tcW w:type="dxa" w:w="170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Status</w:t>
            </w:r>
          </w:p>
        </w:tc>
        <w:tc>
          <w:tcPr>
            <w:tcW w:type="dxa" w:w="1990"/>
            <w:shd w:fill="2D073A"/>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7"/>
              </w:rPr>
              <w:t>Owner / location / notes</w:t>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I01</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Master application cross-reference matrix</w:t>
              <w:br/>
              <w:t>Map each requirement to the document, section, owner and latest version.</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I02</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Consistency review across the complete evidence set</w:t>
              <w:br/>
              <w:t>Check names, ownership, product scope, volumes, dates, providers and controls.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I03</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Open-issues and regulator-questions log</w:t>
              <w:br/>
              <w:t>Record assumptions, decisions, owners and response evidence.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I04</w:t>
            </w:r>
          </w:p>
        </w:tc>
        <w:tc>
          <w:tcPr>
            <w:tcW w:type="dxa" w:w="502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Final board or authorised-committee review</w:t>
              <w:br/>
              <w:t>Document approval of the application and material representations.</w:t>
            </w:r>
          </w:p>
        </w:tc>
        <w:tc>
          <w:tcPr>
            <w:tcW w:type="dxa" w:w="170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shd w:fill="FCFAF7"/>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r>
        <w:trPr>
          <w:cantSplit/>
        </w:trPr>
        <w:tc>
          <w:tcPr>
            <w:tcW w:type="dxa" w:w="65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I05</w:t>
            </w:r>
          </w:p>
        </w:tc>
        <w:tc>
          <w:tcPr>
            <w:tcW w:type="dxa" w:w="502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Controlled submission copy and correspondence register</w:t>
              <w:br/>
              <w:t>Preserve exactly what was submitted and every subsequent response.</w:t>
            </w:r>
          </w:p>
        </w:tc>
        <w:tc>
          <w:tcPr>
            <w:tcW w:type="dxa" w:w="17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t>☐ Available</w:t>
              <w:br/>
              <w:t>☐ Update</w:t>
              <w:br/>
              <w:t>☐ Not started</w:t>
              <w:br/>
              <w:t>☐ N/A</w:t>
            </w:r>
          </w:p>
        </w:tc>
        <w:tc>
          <w:tcPr>
            <w:tcW w:type="dxa" w:w="199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7"/>
              </w:rPr>
            </w:r>
          </w:p>
        </w:tc>
      </w:tr>
    </w:tbl>
    <w:p>
      <w:pPr>
        <w:pStyle w:val="Heading1"/>
      </w:pPr>
      <w:r>
        <w:t>Primary sources</w:t>
      </w:r>
    </w:p>
    <w:p>
      <w:pPr>
        <w:spacing w:after="160"/>
      </w:pPr>
      <w:r>
        <w:t>Check the latest official text and regulator guidance before relying on this working aid.</w:t>
      </w:r>
    </w:p>
    <w:tbl>
      <w:tblPr>
        <w:tblW w:type="dxa" w:w="9360"/>
        <w:jc w:val="left"/>
        <w:tblLayout w:type="fixed"/>
        <w:tblLook w:firstColumn="1" w:firstRow="1" w:lastColumn="0" w:lastRow="0" w:noHBand="0" w:noVBand="1" w:val="04A0"/>
        <w:tblInd w:type="dxa" w:w="120"/>
      </w:tblPr>
      <w:tblGrid>
        <w:gridCol w:w="3300"/>
        <w:gridCol w:w="6060"/>
      </w:tblGrid>
      <w:tr>
        <w:trPr>
          <w:tblHeader w:val="true"/>
        </w:trPr>
        <w:tc>
          <w:tcPr>
            <w:tcW w:type="dxa" w:w="330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Source</w:t>
            </w:r>
          </w:p>
        </w:tc>
        <w:tc>
          <w:tcPr>
            <w:tcW w:type="dxa" w:w="6060"/>
            <w:vAlign w:val="center"/>
            <w:shd w:fill="2D073A"/>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color w:val="FFFFFF"/>
                <w:sz w:val="18"/>
              </w:rPr>
              <w:t>Official link</w:t>
            </w:r>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National Payment System Act, Cap. 491A</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2">
              <w:r>
                <w:rPr>
                  <w:rFonts w:ascii="Calibri" w:hAnsi="Calibri"/>
                  <w:color w:val="7A4E16"/>
                  <w:u w:val="single"/>
                </w:rPr>
                <w:t>https://new.kenyalaw.org/akn/ke/act/2011/39</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National Payment System Regulations, 2014</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3">
              <w:r>
                <w:rPr>
                  <w:rFonts w:ascii="Calibri" w:hAnsi="Calibri"/>
                  <w:color w:val="7A4E16"/>
                  <w:u w:val="single"/>
                </w:rPr>
                <w:t>https://new.kenyalaw.org/akn/ke/act/ln/2014/109</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Central Bank of Kenya — National Payment System</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4">
              <w:r>
                <w:rPr>
                  <w:rFonts w:ascii="Calibri" w:hAnsi="Calibri"/>
                  <w:color w:val="7A4E16"/>
                  <w:u w:val="single"/>
                </w:rPr>
                <w:t>https://www.centralbank.go.ke/national-payments-system/</w:t>
              </w:r>
            </w:hyperlink>
          </w:p>
        </w:tc>
      </w:tr>
      <w:tr>
        <w:trPr>
          <w:cantSplit/>
        </w:trPr>
        <w:tc>
          <w:tcPr>
            <w:tcW w:type="dxa" w:w="3300"/>
            <w:vAlign w:val="center"/>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line="264" w:lineRule="auto"/>
            </w:pPr>
            <w:r>
              <w:rPr>
                <w:rFonts w:ascii="Calibri" w:hAnsi="Calibri"/>
                <w:b w:val="0"/>
                <w:color w:val="251F28"/>
                <w:sz w:val="18"/>
              </w:rPr>
              <w:t>Central Bank of Kenya — PSP authorisation checklist</w:t>
            </w:r>
          </w:p>
        </w:tc>
        <w:tc>
          <w:tcPr>
            <w:tcW w:type="dxa" w:w="6060"/>
            <w:tcMar>
              <w:top w:w="80" w:type="dxa"/>
              <w:bottom w:w="80" w:type="dxa"/>
              <w:start w:w="120" w:type="dxa"/>
              <w:end w:w="120" w:type="dxa"/>
            </w:tcMar>
            <w:tcBorders>
              <w:top w:val="single" w:sz="4" w:color="D8CDD9"/>
              <w:left w:val="single" w:sz="4" w:color="D8CDD9"/>
              <w:bottom w:val="single" w:sz="4" w:color="D8CDD9"/>
              <w:right w:val="single" w:sz="4" w:color="D8CDD9"/>
              <w:insideH w:val="single" w:sz="4" w:color="D8CDD9"/>
              <w:insideV w:val="single" w:sz="4" w:color="D8CDD9"/>
            </w:tcBorders>
          </w:tcPr>
          <w:p>
            <w:pPr>
              <w:spacing w:before="0" w:after="0"/>
            </w:pPr>
            <w:hyperlink r:id="rId15">
              <w:r>
                <w:rPr>
                  <w:rFonts w:ascii="Calibri" w:hAnsi="Calibri"/>
                  <w:color w:val="7A4E16"/>
                  <w:u w:val="single"/>
                </w:rPr>
                <w:t>https://www.centralbank.go.ke/wp-content/uploads/2020/06/Payment-Service-Providers-Authorization-checklist.pdf</w:t>
              </w:r>
            </w:hyperlink>
          </w:p>
        </w:tc>
      </w:tr>
    </w:tbl>
    <w:p>
      <w:pPr>
        <w:pStyle w:val="Heading1"/>
      </w:pPr>
      <w:r>
        <w:t>Permitted use and important notice</w:t>
      </w:r>
    </w:p>
    <w:p>
      <w:pPr>
        <w:spacing w:after="60" w:line="259" w:lineRule="auto"/>
      </w:pPr>
      <w:r>
        <w:rPr>
          <w:rFonts w:ascii="Calibri" w:hAnsi="Calibri"/>
          <w:b/>
          <w:color w:val="2D073A"/>
          <w:sz w:val="18"/>
        </w:rPr>
        <w:t xml:space="preserve">Internal use. </w:t>
      </w:r>
      <w:r>
        <w:rPr>
          <w:rFonts w:ascii="Calibri" w:hAnsi="Calibri"/>
          <w:color w:val="251F28"/>
          <w:sz w:val="18"/>
        </w:rPr>
        <w:t>The original downloader may use and adapt this resource internally for one business or organisation.</w:t>
      </w:r>
    </w:p>
    <w:p>
      <w:pPr>
        <w:spacing w:after="60" w:line="259" w:lineRule="auto"/>
      </w:pPr>
      <w:r>
        <w:rPr>
          <w:rFonts w:ascii="Calibri" w:hAnsi="Calibri"/>
          <w:b/>
          <w:color w:val="2D073A"/>
          <w:sz w:val="18"/>
        </w:rPr>
        <w:t xml:space="preserve">No resale or redistribution. </w:t>
      </w:r>
      <w:r>
        <w:rPr>
          <w:rFonts w:ascii="Calibri" w:hAnsi="Calibri"/>
          <w:color w:val="251F28"/>
          <w:sz w:val="18"/>
        </w:rPr>
        <w:t>It may not be sold, republished, distributed as a competing product or presented as legal advice from the firm.</w:t>
      </w:r>
    </w:p>
    <w:p>
      <w:pPr>
        <w:spacing w:after="60" w:line="259" w:lineRule="auto"/>
      </w:pPr>
      <w:r>
        <w:rPr>
          <w:rFonts w:ascii="Calibri" w:hAnsi="Calibri"/>
          <w:b/>
          <w:color w:val="2D073A"/>
          <w:sz w:val="18"/>
        </w:rPr>
        <w:t xml:space="preserve">No retainer by download. </w:t>
      </w:r>
      <w:r>
        <w:rPr>
          <w:rFonts w:ascii="Calibri" w:hAnsi="Calibri"/>
          <w:color w:val="251F28"/>
          <w:sz w:val="18"/>
        </w:rPr>
        <w:t>Downloading or completing it does not create an advocate-client relationship. No duty to update it is assumed.</w:t>
      </w:r>
    </w:p>
    <w:p>
      <w:pPr>
        <w:spacing w:after="60" w:line="259" w:lineRule="auto"/>
      </w:pPr>
      <w:r>
        <w:rPr>
          <w:rFonts w:ascii="Calibri" w:hAnsi="Calibri"/>
          <w:b/>
          <w:color w:val="2D073A"/>
          <w:sz w:val="18"/>
        </w:rPr>
        <w:t xml:space="preserve">General aid only. </w:t>
      </w:r>
      <w:r>
        <w:rPr>
          <w:rFonts w:ascii="Calibri" w:hAnsi="Calibri"/>
          <w:color w:val="251F28"/>
          <w:sz w:val="18"/>
        </w:rPr>
        <w:t>It is not a substitute for advice based on the complete facts, sector, regulator, transaction and current law.</w:t>
      </w:r>
    </w:p>
    <w:p>
      <w:pPr>
        <w:spacing w:after="60" w:line="259" w:lineRule="auto"/>
      </w:pPr>
      <w:r>
        <w:rPr>
          <w:rFonts w:ascii="Calibri" w:hAnsi="Calibri"/>
          <w:b/>
          <w:color w:val="2D073A"/>
          <w:sz w:val="18"/>
        </w:rPr>
        <w:t xml:space="preserve">Tailored work. </w:t>
      </w:r>
      <w:r>
        <w:rPr>
          <w:rFonts w:ascii="Calibri" w:hAnsi="Calibri"/>
          <w:color w:val="251F28"/>
          <w:sz w:val="18"/>
        </w:rPr>
        <w:t>Request a scope and fee before sharing substantive or confidential information for review.</w:t>
      </w:r>
    </w:p>
    <w:p>
      <w:pPr>
        <w:spacing w:before="100" w:after="0"/>
      </w:pPr>
      <w:r>
        <w:rPr>
          <w:rFonts w:ascii="Calibri" w:hAnsi="Calibri"/>
          <w:b/>
          <w:color w:val="6F696F"/>
          <w:sz w:val="18"/>
        </w:rPr>
        <w:t xml:space="preserve">© 2026 S.N. Nyaga &amp; Company Advocates. </w:t>
      </w:r>
      <w:hyperlink r:id="rId16">
        <w:r>
          <w:rPr>
            <w:rFonts w:ascii="Calibri" w:hAnsi="Calibri"/>
            <w:color w:val="7A4E16"/>
            <w:u w:val="single"/>
          </w:rPr>
          <w:t>Open the Business Document Studio</w:t>
        </w:r>
      </w:hyperlink>
    </w:p>
    <w:sectPr w:rsidR="00FC693F" w:rsidRPr="0006063C" w:rsidSect="00034616">
      <w:headerReference w:type="default" r:id="rId9"/>
      <w:footerReference w:type="default" r:id="rId10"/>
      <w:pgSz w:w="12240" w:h="15840"/>
      <w:pgMar w:top="1181"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6760"/>
      <w:gridCol w:w="2600"/>
    </w:tblGrid>
    <w:tr>
      <w:trPr/>
      <w:tc>
        <w:tcPr>
          <w:tcW w:type="dxa" w:w="676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r>
            <w:rPr>
              <w:rFonts w:ascii="Calibri" w:hAnsi="Calibri"/>
              <w:color w:val="6F696F"/>
              <w:sz w:val="16"/>
            </w:rPr>
            <w:t>snnyagaadvocates.co.ke  |  General working aid</w:t>
          </w:r>
        </w:p>
      </w:tc>
      <w:tc>
        <w:tcPr>
          <w:tcW w:type="dxa" w:w="2600"/>
          <w:tcMar>
            <w:top w:w="0" w:type="dxa"/>
            <w:bottom w:w="0" w:type="dxa"/>
            <w:start w:w="0" w:type="dxa"/>
            <w:end w:w="0" w:type="dxa"/>
          </w:tcMar>
          <w:tcBorders>
            <w:top w:val="single" w:sz="0" w:color="FFFFFF"/>
            <w:left w:val="single" w:sz="0" w:color="FFFFFF"/>
            <w:bottom w:val="single" w:sz="0" w:color="FFFFFF"/>
            <w:right w:val="single" w:sz="0" w:color="FFFFFF"/>
            <w:insideH w:val="single" w:sz="0" w:color="FFFFFF"/>
            <w:insideV w:val="single" w:sz="0" w:color="FFFFFF"/>
          </w:tcBorders>
        </w:tcPr>
        <w:p>
          <w:pPr>
            <w:jc w:val="right"/>
          </w:pPr>
          <w:r>
            <w:rPr>
              <w:rFonts w:ascii="Calibri" w:hAnsi="Calibri"/>
              <w:color w:val="6F696F"/>
              <w:sz w:val="16"/>
            </w:rPr>
            <w:t>Reviewed 31 July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6F696F"/>
        <w:sz w:val="16"/>
      </w:rPr>
      <w:t>S.N. Nyaga &amp; Company Advocates  |  Business Document Studio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1F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52" w:lineRule="auto"/>
      <w:outlineLvl w:val="0"/>
    </w:pPr>
    <w:rPr>
      <w:rFonts w:asciiTheme="majorHAnsi" w:eastAsiaTheme="majorEastAsia" w:hAnsiTheme="majorHAnsi" w:cstheme="majorBidi" w:ascii="Calibri" w:hAnsi="Calibri"/>
      <w:b/>
      <w:bCs/>
      <w:color w:val="2D073A"/>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52" w:lineRule="auto"/>
      <w:outlineLvl w:val="1"/>
    </w:pPr>
    <w:rPr>
      <w:rFonts w:asciiTheme="majorHAnsi" w:eastAsiaTheme="majorEastAsia" w:hAnsiTheme="majorHAnsi" w:cstheme="majorBidi" w:ascii="Calibri" w:hAnsi="Calibri"/>
      <w:b/>
      <w:bCs/>
      <w:color w:val="2D073A"/>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52" w:lineRule="auto"/>
      <w:outlineLvl w:val="2"/>
    </w:pPr>
    <w:rPr>
      <w:rFonts w:asciiTheme="majorHAnsi" w:eastAsiaTheme="majorEastAsia" w:hAnsiTheme="majorHAnsi" w:cstheme="majorBidi" w:ascii="Calibri" w:hAnsi="Calibri"/>
      <w:b/>
      <w:bCs/>
      <w:color w:val="4011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40" w:line="252" w:lineRule="auto" w:before="0"/>
      <w:contextualSpacing/>
    </w:pPr>
    <w:rPr>
      <w:rFonts w:asciiTheme="majorHAnsi" w:eastAsiaTheme="majorEastAsia" w:hAnsiTheme="majorHAnsi" w:cstheme="majorBidi" w:ascii="Calibri" w:hAnsi="Calibri"/>
      <w:b/>
      <w:color w:val="2D073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52" w:lineRule="auto"/>
    </w:pPr>
    <w:rPr>
      <w:rFonts w:asciiTheme="majorHAnsi" w:eastAsiaTheme="majorEastAsia" w:hAnsiTheme="majorHAnsi" w:cstheme="majorBidi" w:ascii="Calibri" w:hAnsi="Calibri"/>
      <w:b w:val="0"/>
      <w:i/>
      <w:iCs/>
      <w:color w:val="6F696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new.kenyalaw.org/akn/ke/act/2011/39" TargetMode="External"/><Relationship Id="rId13" Type="http://schemas.openxmlformats.org/officeDocument/2006/relationships/hyperlink" Target="https://new.kenyalaw.org/akn/ke/act/ln/2014/109" TargetMode="External"/><Relationship Id="rId14" Type="http://schemas.openxmlformats.org/officeDocument/2006/relationships/hyperlink" Target="https://www.centralbank.go.ke/national-payments-system/" TargetMode="External"/><Relationship Id="rId15" Type="http://schemas.openxmlformats.org/officeDocument/2006/relationships/hyperlink" Target="https://www.centralbank.go.ke/wp-content/uploads/2020/06/Payment-Service-Providers-Authorization-checklist.pdf" TargetMode="External"/><Relationship Id="rId16" Type="http://schemas.openxmlformats.org/officeDocument/2006/relationships/hyperlink" Target="https://snnyagaadvocates.co.ke/document-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 Nyaga PSP Licensing Readiness Document Index</dc:title>
  <dc:subject>S.N. Nyaga &amp; Company Advocates Business Document Studio</dc:subject>
  <dc:creator>S.N. Nyaga &amp; Company Advocates</dc:creator>
  <cp:keywords>Kenya, legal toolkit, business documents, compliance</cp:keywords>
  <dc:description>generated by python-docx</dc:description>
  <cp:lastModifiedBy/>
  <cp:revision>1</cp:revision>
  <dcterms:created xsi:type="dcterms:W3CDTF">2013-12-23T23:15:00Z</dcterms:created>
  <dcterms:modified xsi:type="dcterms:W3CDTF">2013-12-23T23:15:00Z</dcterms:modified>
  <cp:category/>
</cp:coreProperties>
</file>